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F81F" w14:textId="77777777" w:rsidR="000B52E5" w:rsidRPr="000B52E5" w:rsidRDefault="000B52E5" w:rsidP="000B52E5">
      <w:pPr>
        <w:rPr>
          <w:b/>
          <w:u w:val="single"/>
        </w:rPr>
      </w:pPr>
      <w:r w:rsidRPr="000B52E5">
        <w:rPr>
          <w:b/>
          <w:u w:val="single"/>
        </w:rPr>
        <w:t>Artikel 2: Afkoop partneralimentatie</w:t>
      </w:r>
    </w:p>
    <w:p w14:paraId="6DC683D7" w14:textId="77777777" w:rsidR="000B52E5" w:rsidRPr="000B52E5" w:rsidRDefault="000B52E5" w:rsidP="000B52E5">
      <w:pPr>
        <w:rPr>
          <w:b/>
          <w:bCs/>
        </w:rPr>
      </w:pPr>
    </w:p>
    <w:p w14:paraId="73BCD35A" w14:textId="77777777" w:rsidR="000B52E5" w:rsidRPr="000B52E5" w:rsidRDefault="000B52E5" w:rsidP="000B52E5">
      <w:pPr>
        <w:numPr>
          <w:ilvl w:val="1"/>
          <w:numId w:val="1"/>
        </w:numPr>
        <w:rPr>
          <w:b/>
          <w:bCs/>
          <w:u w:val="single"/>
        </w:rPr>
      </w:pPr>
      <w:r w:rsidRPr="000B52E5">
        <w:rPr>
          <w:bCs/>
        </w:rPr>
        <w:t>De man gaat over tot afkoop van de alimentatie, die hij met ingang van de datum van ontbinding van het huwelijk van partijen aan de vrouw verschuldigd zal zijn, door uitbetaling aan de vrouw van een afkoopsom ter grootte van € 150.000 binnen 14 dagen na de datum van inschrijving van de echtscheidingsbeschikking (niet eerder dan die datum om fiscale redenen). Indien de betaling niet tijdig plaatsvindt, is de man met ingang van de vijftiende dag na inschrijving van de echtscheidingsbeschikking zonder verdere aanmaning in gebreke en is hij over het niet betaalde bedrag of gedeelte van dat bedrag aan de vrouw een rente verschuldigd gelijk aan de wettelijke rente. Door middel van deze regeling wordt de alimentatieverplichting van de man jegens de vrouw definitief en onvoorwaardelijk afgekocht en beëindigd/gelimiteerd. De man zal niet gehouden zijn verder of later nog op enigerlei wijze bij te dragen in het levensonderhoud van de vrouw, die door acceptatie van deze regeling onvoorwaardelijk afstand doet van alle verdere alimentatierechten. Deze alimentatieafspraak is voor beide partijen bindend en zal niet door een rechterlijke uitspraak of anderszins kunnen worden gewijzigd, ook niet op grond van een wijziging van omstandigheden.</w:t>
      </w:r>
    </w:p>
    <w:p w14:paraId="4A82ECC3" w14:textId="77777777" w:rsidR="00541076" w:rsidRDefault="00541076"/>
    <w:p w14:paraId="70F6298F" w14:textId="77777777" w:rsidR="003740B4" w:rsidRPr="003740B4" w:rsidRDefault="003740B4" w:rsidP="003740B4">
      <w:pPr>
        <w:rPr>
          <w:u w:val="single"/>
        </w:rPr>
      </w:pPr>
      <w:r w:rsidRPr="003740B4">
        <w:rPr>
          <w:b/>
          <w:bCs/>
          <w:u w:val="single"/>
        </w:rPr>
        <w:t>Artikel 7: Fiscale regeling</w:t>
      </w:r>
    </w:p>
    <w:p w14:paraId="2EA549B6" w14:textId="77777777" w:rsidR="003740B4" w:rsidRPr="003740B4" w:rsidRDefault="003740B4" w:rsidP="003740B4"/>
    <w:p w14:paraId="1609A136" w14:textId="77777777" w:rsidR="003740B4" w:rsidRPr="003740B4" w:rsidRDefault="003740B4" w:rsidP="003740B4">
      <w:pPr>
        <w:numPr>
          <w:ilvl w:val="0"/>
          <w:numId w:val="2"/>
        </w:numPr>
        <w:rPr>
          <w:vanish/>
        </w:rPr>
      </w:pPr>
    </w:p>
    <w:p w14:paraId="0A7A6325" w14:textId="77777777" w:rsidR="003740B4" w:rsidRPr="003740B4" w:rsidRDefault="003740B4" w:rsidP="003740B4">
      <w:pPr>
        <w:numPr>
          <w:ilvl w:val="0"/>
          <w:numId w:val="2"/>
        </w:numPr>
        <w:rPr>
          <w:vanish/>
        </w:rPr>
      </w:pPr>
    </w:p>
    <w:p w14:paraId="143A43B5" w14:textId="77777777" w:rsidR="003740B4" w:rsidRPr="003740B4" w:rsidRDefault="003740B4" w:rsidP="003740B4">
      <w:pPr>
        <w:numPr>
          <w:ilvl w:val="0"/>
          <w:numId w:val="2"/>
        </w:numPr>
        <w:rPr>
          <w:vanish/>
        </w:rPr>
      </w:pPr>
    </w:p>
    <w:p w14:paraId="1A443240" w14:textId="5084A3C3" w:rsidR="003740B4" w:rsidRPr="003740B4" w:rsidRDefault="003740B4" w:rsidP="003740B4">
      <w:pPr>
        <w:numPr>
          <w:ilvl w:val="1"/>
          <w:numId w:val="2"/>
        </w:numPr>
        <w:rPr>
          <w:bCs/>
        </w:rPr>
      </w:pPr>
      <w:r w:rsidRPr="003740B4">
        <w:t xml:space="preserve">Partijen hebben tijdens het huwelijk steeds gezamenlijk aangifte voor de inkomstenbelasting/premieheffing volksverzekeringen gedaan, verzorgd door </w:t>
      </w:r>
      <w:r w:rsidR="00A92827">
        <w:t>&lt;&gt;</w:t>
      </w:r>
      <w:r w:rsidRPr="003740B4">
        <w:t xml:space="preserve">. Over de jaren tot en met 2021 is reeds aangifte gedaan. Tot en met het jaar 2020 zijn de definitieve aanslagen reeds ontvangen en afgewikkeld. Over het belastingjaar 2021 verwachten partijen gezamenlijk per saldo een aanslag ten name van de  man van € </w:t>
      </w:r>
      <w:r w:rsidR="00E67E76">
        <w:t>&lt;&gt;</w:t>
      </w:r>
      <w:r w:rsidRPr="003740B4">
        <w:t xml:space="preserve">, zoals beschreven en berekend in de brieven van </w:t>
      </w:r>
      <w:r w:rsidR="00E67E76">
        <w:t>&lt;&gt;</w:t>
      </w:r>
      <w:r w:rsidRPr="003740B4">
        <w:rPr>
          <w:bCs/>
        </w:rPr>
        <w:t xml:space="preserve">. De man zal deze aanslag voldoen zonder verrekening met de vrouw. </w:t>
      </w:r>
    </w:p>
    <w:p w14:paraId="45487D44" w14:textId="77777777" w:rsidR="003740B4" w:rsidRPr="003740B4" w:rsidRDefault="003740B4" w:rsidP="003740B4">
      <w:pPr>
        <w:rPr>
          <w:bCs/>
        </w:rPr>
      </w:pPr>
    </w:p>
    <w:p w14:paraId="08FA8681" w14:textId="2704A747" w:rsidR="003740B4" w:rsidRPr="003740B4" w:rsidRDefault="003740B4" w:rsidP="003740B4">
      <w:pPr>
        <w:numPr>
          <w:ilvl w:val="1"/>
          <w:numId w:val="2"/>
        </w:numPr>
      </w:pPr>
      <w:r w:rsidRPr="003740B4">
        <w:t xml:space="preserve">Partijen zullen ook over het jaar 2022 gezamenlijk aangifte doen. De man met behulp van </w:t>
      </w:r>
      <w:r w:rsidR="00E67E76">
        <w:t>&lt;&gt;</w:t>
      </w:r>
      <w:r w:rsidRPr="003740B4">
        <w:rPr>
          <w:bCs/>
        </w:rPr>
        <w:t xml:space="preserve"> en de vrouw met behulp van </w:t>
      </w:r>
      <w:r w:rsidR="00E67E76">
        <w:rPr>
          <w:bCs/>
        </w:rPr>
        <w:t>&lt;&gt;</w:t>
      </w:r>
      <w:r w:rsidRPr="003740B4">
        <w:rPr>
          <w:bCs/>
        </w:rPr>
        <w:t>. Partijen</w:t>
      </w:r>
      <w:r w:rsidRPr="003740B4">
        <w:t xml:space="preserve"> stellen vast dat zij gedurende een gedeelte van het kalenderjaar 2022 elkaars fiscaal partner zullen zijn. In hun aangiften IB/PH 2022 zullen zij uitdrukkelijk opteren voor toepassing van de keuzemogelijkheid die </w:t>
      </w:r>
      <w:r w:rsidRPr="003740B4">
        <w:rPr>
          <w:u w:val="single"/>
        </w:rPr>
        <w:t>artikel 2.17 lid 7</w:t>
      </w:r>
      <w:r w:rsidRPr="003740B4">
        <w:t xml:space="preserve"> Wet IB 2001 biedt (fictief fiscaal partnerschap gedurende het gehele kalenderjaar). Op grond van de verdere toepassing van artikel 2.17 Wet IB 2001 wordt de voor het kalenderjaar 2022 in aanmerking te nemen persoonsgebonden aftrek van de man uit hoofde van de in artikel 2.1 vermelde afkoopsom partneralimentatie in aanmerking genomen in de aangifte IB/PH 2022 van de vrouw. Partijen beogen met het voorgaande de fiscale gevolgen van de in artikel 2.1 vermelde afkoopsom partneralimentatie in hun aangiften IB/PH 2022 te neutraliseren, door in de aangifte van de vrouw de afkoopsom partneralimentatie in aanmerking te nemen op grond van zowel artikel 3.102 lid 1 Wet IB 2001 (belaste inkomsten) als artikel 6.3 lid 1 letter b Wet IB 2001 (persoonsgebonden aftrek). Partijen zijn zich ervan bewust dat de vrouw</w:t>
      </w:r>
      <w:r w:rsidR="00E67E76">
        <w:t xml:space="preserve"> </w:t>
      </w:r>
      <w:r w:rsidRPr="003740B4">
        <w:t xml:space="preserve">een inkomensafhankelijke bijdrage zorgverzekeringswet is verschuldigd over de in aanmerking te nemen inkomsten (afkoopsom partneralimentatie) en dat er een verschil is gelegen tussen de omvang van de persoonsgebonden aftrek en het over de alimentatie-inkomsten verschuldigde belastingbedrag, waardoor de alimentatie-inkomsten voor de vrouw zijn belast met het </w:t>
      </w:r>
      <w:r w:rsidRPr="003740B4">
        <w:lastRenderedPageBreak/>
        <w:t>percentage van de belastingschijf in box 1 waarin die inkomsten belast zijn minus het percentage van de aftrekbaarheid (in 2022 maximaal 40%). De vrouw zal de bijdrage zorgverzekeringswet en inkomstenbelasting (met inachtneming van de persoonsgebonden aftrek) over de afkoopsom zelf dienen te voldoen, waarbij partijen overeenkomen dat de man daarin een bijdrage betaalt aan de vrouw van € 5.791,99 binnen 14 dagen nadat de vrouw de betreffende belastingaanslag aan de man heeft overhandigd. De vrouw zal de kosten ter verwerving van de afkoopsom in aftrek kunnen brengen. Voor het overige verwerkt ieder de eigen inkomsten en aftrekposten in de eigen aangifte en komen aanslagen en restituties IB/PH die het jaar 2022 betreffen, voor rekening van althans komen toe aan de partij, op wier naam de aanslagen respectievelijk restituties zijn gesteld.</w:t>
      </w:r>
    </w:p>
    <w:p w14:paraId="0E06AC74" w14:textId="77777777" w:rsidR="003740B4" w:rsidRPr="003740B4" w:rsidRDefault="003740B4" w:rsidP="003740B4"/>
    <w:p w14:paraId="31128A59" w14:textId="77777777" w:rsidR="003740B4" w:rsidRPr="003740B4" w:rsidRDefault="003740B4" w:rsidP="003740B4">
      <w:pPr>
        <w:numPr>
          <w:ilvl w:val="1"/>
          <w:numId w:val="2"/>
        </w:numPr>
      </w:pPr>
      <w:r w:rsidRPr="003740B4">
        <w:t>Vanaf het belastingjaar met ingang van 1 januari 2023 zal ieder der partijen zelfstandig de eigen aangifte verzorgen. Aanslagen en restituties IB/PH die de periode vanaf 1 januari 2023 betreffen, komen voor rekening van althans komen toe aan de partij, op wier naam de aanslagen respectievelijk restituties zijn gesteld.</w:t>
      </w:r>
    </w:p>
    <w:p w14:paraId="2F52589E" w14:textId="77777777" w:rsidR="003740B4" w:rsidRPr="003740B4" w:rsidRDefault="003740B4" w:rsidP="003740B4"/>
    <w:p w14:paraId="051E688A" w14:textId="77777777" w:rsidR="003740B4" w:rsidRPr="003740B4" w:rsidRDefault="003740B4" w:rsidP="003740B4">
      <w:pPr>
        <w:numPr>
          <w:ilvl w:val="1"/>
          <w:numId w:val="2"/>
        </w:numPr>
      </w:pPr>
      <w:r w:rsidRPr="003740B4">
        <w:t>Indien en voor zover de financiële regeling zoals omschreven in deze overeenkomst leidt tot onvoorziene gevolgen voor de heffingen, kan de partij die geconfronteerd wordt met deze onvoorziene gevolgen de andere partij verzoeken om opnieuw in overleg te treden teneinde de overeenkomst op zodanige wijze aan te passen dan wel aan te vullen, dat de onvoorziene gevolgen tot een minimum worden beperkt. De andere partij is gehouden om hieraan mee te werken voor zover deze hier geen financieel nadeel van ondervindt dan wel voor dit financieel nadeel wordt gecompenseerd.</w:t>
      </w:r>
    </w:p>
    <w:p w14:paraId="7A9D2004" w14:textId="77777777" w:rsidR="003740B4" w:rsidRPr="003740B4" w:rsidRDefault="003740B4" w:rsidP="003740B4"/>
    <w:p w14:paraId="78E227E5" w14:textId="77777777" w:rsidR="003740B4" w:rsidRDefault="003740B4" w:rsidP="003740B4">
      <w:pPr>
        <w:numPr>
          <w:ilvl w:val="1"/>
          <w:numId w:val="2"/>
        </w:numPr>
      </w:pPr>
      <w:r w:rsidRPr="003740B4">
        <w:t xml:space="preserve">Partijen hebben over en weer niet de bedoeling om elkaar te bevoordelen in het kader van de verdeling en verrekening. Mocht evenwel komen vast te staan (hetgeen partijen zich niet kunnen voorstellen), dat er een bevoordeling is geweest die objectief gezien leidt tot de conclusie dat er sprake is van schenking ex artikel 1 van de Successiewet 1956, dan beroepen partijen zich op de vrijstelling zoals opgenomen in artikel 33 onder 12 van de Successiewet 1956 (natuurlijke verbintenis). Mocht deze uitzondering definitief niet van toepassing worden verklaard, dan beroepen partijen zich op toepassing van het echtgenotentarief dat volgt uit onderdeel 2 van het besluit van de Staatssecretaris van Financiën van 5 juli 2010 (nummer DGB2010/872M). Een hieruit voorvloeiende verplichting tot betaling van een aanslag schenkbelasting, ook als die zou worden opgelegd aan de vrouw, zal door de man worden gedragen. </w:t>
      </w:r>
    </w:p>
    <w:p w14:paraId="5DFD9C17" w14:textId="77777777" w:rsidR="00E67E76" w:rsidRDefault="00E67E76" w:rsidP="00E67E76">
      <w:pPr>
        <w:pStyle w:val="Lijstalinea"/>
      </w:pPr>
    </w:p>
    <w:p w14:paraId="17817F4E" w14:textId="77777777" w:rsidR="00E67E76" w:rsidRPr="003740B4" w:rsidRDefault="00E67E76" w:rsidP="00E67E76"/>
    <w:p w14:paraId="5DB6B05D" w14:textId="77777777" w:rsidR="003740B4" w:rsidRDefault="003740B4"/>
    <w:sectPr w:rsidR="0037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F124C"/>
    <w:multiLevelType w:val="multilevel"/>
    <w:tmpl w:val="87089F7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B62D84"/>
    <w:multiLevelType w:val="multilevel"/>
    <w:tmpl w:val="823A56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2019182">
    <w:abstractNumId w:val="0"/>
  </w:num>
  <w:num w:numId="2" w16cid:durableId="12963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C5"/>
    <w:rsid w:val="000B52E5"/>
    <w:rsid w:val="003740B4"/>
    <w:rsid w:val="00541076"/>
    <w:rsid w:val="00A92827"/>
    <w:rsid w:val="00C177C5"/>
    <w:rsid w:val="00E67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C077"/>
  <w15:chartTrackingRefBased/>
  <w15:docId w15:val="{A4045F62-5D37-42E9-91FA-A4EF6E0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5103</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Lindhout</dc:creator>
  <cp:keywords/>
  <dc:description/>
  <cp:lastModifiedBy>Nicole Lindhout</cp:lastModifiedBy>
  <cp:revision>2</cp:revision>
  <dcterms:created xsi:type="dcterms:W3CDTF">2023-01-11T09:30:00Z</dcterms:created>
  <dcterms:modified xsi:type="dcterms:W3CDTF">2023-01-11T09:30:00Z</dcterms:modified>
</cp:coreProperties>
</file>