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5CD4" w14:textId="70178D72" w:rsidR="003E67A4" w:rsidRDefault="003E67A4">
      <w:r>
        <w:t xml:space="preserve">“”NETTO” AFKOOPSOM ALIMENTATIE REGELING VOOR IN CONVENANT </w:t>
      </w:r>
    </w:p>
    <w:p w14:paraId="529A3A29" w14:textId="01B61888" w:rsidR="003E67A4" w:rsidRDefault="003E67A4"/>
    <w:p w14:paraId="5F756B45" w14:textId="77777777" w:rsidR="003E67A4" w:rsidRDefault="003E67A4" w:rsidP="003E67A4">
      <w:pPr>
        <w:tabs>
          <w:tab w:val="left" w:pos="561"/>
        </w:tabs>
        <w:spacing w:line="300" w:lineRule="exact"/>
        <w:ind w:left="737" w:hanging="737"/>
        <w:rPr>
          <w:rFonts w:ascii="Garamond" w:hAnsi="Garamond" w:cs="Arial"/>
          <w:sz w:val="24"/>
          <w:szCs w:val="24"/>
          <w:u w:val="single"/>
        </w:rPr>
      </w:pPr>
      <w:r>
        <w:rPr>
          <w:rFonts w:ascii="Garamond" w:hAnsi="Garamond" w:cs="Arial"/>
          <w:sz w:val="24"/>
          <w:szCs w:val="24"/>
        </w:rPr>
        <w:tab/>
      </w:r>
      <w:r>
        <w:rPr>
          <w:rFonts w:ascii="Garamond" w:hAnsi="Garamond" w:cs="Arial"/>
          <w:sz w:val="24"/>
          <w:szCs w:val="24"/>
          <w:u w:val="single"/>
        </w:rPr>
        <w:t xml:space="preserve">Afkoop van partneralimentatie </w:t>
      </w:r>
    </w:p>
    <w:p w14:paraId="36A12C87" w14:textId="7F20E30B" w:rsidR="003E67A4" w:rsidRDefault="003E67A4" w:rsidP="003E67A4">
      <w:pPr>
        <w:tabs>
          <w:tab w:val="left" w:pos="-2244"/>
        </w:tabs>
        <w:spacing w:line="300" w:lineRule="exact"/>
        <w:ind w:left="737" w:hanging="737"/>
        <w:rPr>
          <w:rFonts w:ascii="Garamond" w:hAnsi="Garamond" w:cs="Arial"/>
          <w:sz w:val="24"/>
          <w:szCs w:val="24"/>
        </w:rPr>
      </w:pPr>
      <w:r>
        <w:rPr>
          <w:rFonts w:ascii="Garamond" w:hAnsi="Garamond" w:cs="Arial"/>
          <w:sz w:val="24"/>
          <w:szCs w:val="24"/>
        </w:rPr>
        <w:t>2.2</w:t>
      </w:r>
      <w:r>
        <w:rPr>
          <w:rFonts w:ascii="Garamond" w:hAnsi="Garamond" w:cs="Arial"/>
          <w:sz w:val="24"/>
          <w:szCs w:val="24"/>
        </w:rPr>
        <w:tab/>
        <w:t>De man koopt de alimentatie die hij met ingang van de datum van ontbinding van het huwelijk van partijen aan de vrouw verschuldigd zal zijn af door storting van een afkoopsom ten bedrage van €</w:t>
      </w:r>
      <w:r>
        <w:rPr>
          <w:rFonts w:ascii="Garamond" w:hAnsi="Garamond" w:cs="Arial"/>
          <w:sz w:val="24"/>
          <w:szCs w:val="24"/>
        </w:rPr>
        <w:t>……</w:t>
      </w:r>
      <w:r>
        <w:rPr>
          <w:rFonts w:ascii="Garamond" w:hAnsi="Garamond" w:cs="Arial"/>
          <w:sz w:val="24"/>
          <w:szCs w:val="24"/>
        </w:rPr>
        <w:t xml:space="preserve">,- op een door de vrouw aan te wijzen bankrekening. De storting vindt plaats binnen veertien dagen na de datum van inschrijving van de echtscheidingsbeschikking en </w:t>
      </w:r>
      <w:r>
        <w:rPr>
          <w:rFonts w:ascii="Garamond" w:hAnsi="Garamond" w:cs="Arial"/>
          <w:spacing w:val="-3"/>
          <w:sz w:val="24"/>
          <w:szCs w:val="24"/>
        </w:rPr>
        <w:t xml:space="preserve">voor </w:t>
      </w:r>
      <w:r>
        <w:rPr>
          <w:rFonts w:ascii="Garamond" w:hAnsi="Garamond" w:cs="Arial"/>
          <w:spacing w:val="-3"/>
          <w:sz w:val="24"/>
          <w:szCs w:val="24"/>
        </w:rPr>
        <w:t>……….</w:t>
      </w:r>
      <w:r>
        <w:rPr>
          <w:rFonts w:ascii="Garamond" w:hAnsi="Garamond" w:cs="Arial"/>
          <w:spacing w:val="-3"/>
          <w:sz w:val="24"/>
          <w:szCs w:val="24"/>
        </w:rPr>
        <w:t xml:space="preserve"> en zal door de man worden overgemaakt naar de </w:t>
      </w:r>
      <w:r>
        <w:rPr>
          <w:rFonts w:ascii="Garamond" w:hAnsi="Garamond" w:cs="Arial"/>
          <w:spacing w:val="-3"/>
          <w:sz w:val="24"/>
          <w:szCs w:val="24"/>
        </w:rPr>
        <w:t>…….</w:t>
      </w:r>
      <w:r>
        <w:rPr>
          <w:rFonts w:ascii="Garamond" w:hAnsi="Garamond" w:cs="Arial"/>
          <w:spacing w:val="-3"/>
          <w:sz w:val="24"/>
          <w:szCs w:val="24"/>
        </w:rPr>
        <w:t>.</w:t>
      </w:r>
    </w:p>
    <w:p w14:paraId="16325444" w14:textId="2BB31555" w:rsidR="003E67A4" w:rsidRDefault="003E67A4" w:rsidP="003E67A4">
      <w:pPr>
        <w:spacing w:line="300" w:lineRule="exact"/>
        <w:ind w:left="737" w:hanging="737"/>
        <w:rPr>
          <w:rFonts w:ascii="Garamond" w:hAnsi="Garamond" w:cs="Arial"/>
          <w:sz w:val="24"/>
          <w:szCs w:val="24"/>
        </w:rPr>
      </w:pPr>
      <w:r>
        <w:rPr>
          <w:rFonts w:ascii="Garamond" w:hAnsi="Garamond" w:cs="Arial"/>
          <w:sz w:val="24"/>
          <w:szCs w:val="24"/>
        </w:rPr>
        <w:tab/>
        <w:t>Indien de storting niet tijdig plaatsvindt is de man zonder verdere aanmaning in verzuim en is hij aan de vrouw over het niet betaalde bedrag, zolang hij in verzuim is, een rente verschuldigd, gelijk aan de wettelijke rente, alsmede eventuele kosten over de invordering van het verschuldigde bedrag.</w:t>
      </w:r>
    </w:p>
    <w:p w14:paraId="23D77897" w14:textId="77777777" w:rsidR="003E67A4" w:rsidRDefault="003E67A4" w:rsidP="003E67A4">
      <w:pPr>
        <w:ind w:left="705" w:hanging="705"/>
        <w:rPr>
          <w:rFonts w:ascii="Garamond" w:hAnsi="Garamond" w:cstheme="minorHAnsi"/>
          <w:sz w:val="24"/>
          <w:szCs w:val="24"/>
        </w:rPr>
      </w:pPr>
      <w:r>
        <w:rPr>
          <w:rFonts w:ascii="Garamond" w:hAnsi="Garamond" w:cstheme="minorHAnsi"/>
          <w:sz w:val="24"/>
          <w:szCs w:val="24"/>
        </w:rPr>
        <w:t>2.3</w:t>
      </w:r>
      <w:r>
        <w:rPr>
          <w:rFonts w:ascii="Garamond" w:hAnsi="Garamond" w:cstheme="minorHAnsi"/>
          <w:sz w:val="24"/>
          <w:szCs w:val="24"/>
        </w:rPr>
        <w:tab/>
        <w:t>De persoonsgebonden aftrekpost die de man heeft op grond van de betaling van een afkoopsom voor de onderhoudsbijdrage wordt met een beroep op artikel 2.17 lid 7 Wet op de inkomstenbelasting 2001 toegerekend aan de vrouw. De man is zich ervan bewust dat hij door deze toerekening geen fiscaal voordeel geniet als gevolg van de betaling van de afkoopsom voor de onderhoudsbijdrage. Het in dit artikel bepaalde ziet op de onderlinge draagplicht met betrekking tot de fiscale gevolgen en laat de mogelijkheid van fiscale optimalisatie zoals beschreven in artikel 5 nadrukkelijk open.</w:t>
      </w:r>
    </w:p>
    <w:p w14:paraId="26731C24" w14:textId="77777777" w:rsidR="003E67A4" w:rsidRDefault="003E67A4" w:rsidP="003E67A4">
      <w:pPr>
        <w:tabs>
          <w:tab w:val="left" w:pos="561"/>
        </w:tabs>
        <w:spacing w:line="300" w:lineRule="exact"/>
        <w:ind w:left="737" w:hanging="737"/>
        <w:rPr>
          <w:rFonts w:ascii="Garamond" w:hAnsi="Garamond" w:cs="Arial"/>
          <w:sz w:val="24"/>
          <w:szCs w:val="24"/>
        </w:rPr>
      </w:pPr>
      <w:r>
        <w:rPr>
          <w:rFonts w:ascii="Garamond" w:hAnsi="Garamond" w:cs="Arial"/>
          <w:sz w:val="24"/>
          <w:szCs w:val="24"/>
        </w:rPr>
        <w:tab/>
      </w:r>
      <w:r>
        <w:rPr>
          <w:rFonts w:ascii="Garamond" w:hAnsi="Garamond" w:cs="Arial"/>
          <w:sz w:val="24"/>
          <w:szCs w:val="24"/>
        </w:rPr>
        <w:tab/>
      </w:r>
      <w:r>
        <w:rPr>
          <w:rFonts w:ascii="Garamond" w:hAnsi="Garamond" w:cs="Arial"/>
          <w:sz w:val="24"/>
          <w:szCs w:val="24"/>
          <w:u w:val="single"/>
        </w:rPr>
        <w:t>Niet wijzigingsbeding afkoop</w:t>
      </w:r>
      <w:r>
        <w:rPr>
          <w:rFonts w:ascii="Garamond" w:hAnsi="Garamond" w:cs="Arial"/>
          <w:sz w:val="24"/>
          <w:szCs w:val="24"/>
        </w:rPr>
        <w:tab/>
      </w:r>
    </w:p>
    <w:p w14:paraId="290B4BF9" w14:textId="77777777" w:rsidR="003E67A4" w:rsidRDefault="003E67A4" w:rsidP="003E67A4">
      <w:pPr>
        <w:tabs>
          <w:tab w:val="left" w:pos="-2244"/>
        </w:tabs>
        <w:spacing w:line="300" w:lineRule="exact"/>
        <w:ind w:left="737" w:hanging="737"/>
        <w:rPr>
          <w:rFonts w:ascii="Garamond" w:hAnsi="Garamond" w:cs="Arial"/>
          <w:sz w:val="24"/>
          <w:szCs w:val="24"/>
        </w:rPr>
      </w:pPr>
      <w:r>
        <w:rPr>
          <w:rFonts w:ascii="Garamond" w:hAnsi="Garamond" w:cs="Arial"/>
          <w:sz w:val="24"/>
          <w:szCs w:val="24"/>
        </w:rPr>
        <w:t>2.4</w:t>
      </w:r>
      <w:r>
        <w:rPr>
          <w:rFonts w:ascii="Garamond" w:hAnsi="Garamond" w:cs="Arial"/>
          <w:sz w:val="24"/>
          <w:szCs w:val="24"/>
        </w:rPr>
        <w:tab/>
        <w:t>In gevolge het bepaalde in artikel 2.2 wordt de alimentatieverplichting jegens de vrouw definitief en onvoorwaardelijk afgekocht. De man zal niet gehouden zijn verder nog op enigerlei wijze bij te dragen in het levensonderhoud van de vrouw, die door acceptatie van deze regeling onvoorwaardelijk afstand doet van alle verdere alimentatierechten. Deze afspraak is voor beide partijen bindend en zal niet door rechterlijke uitspraak of anderszins kunnen worden gewijzigd, behoudens in het geval van een zo ingrijpende wijziging van omstandigheden dat de alimentatiegerechtigde naar maatstaven van redelijkheid en billijkheid niet langer aan het niet-wijzigingsbeding mag worden gehouden, zoals in artikel 1:159 lid 3 BW is bepaald.</w:t>
      </w:r>
    </w:p>
    <w:p w14:paraId="029C8EA8" w14:textId="3C4ACEB1" w:rsidR="003E67A4" w:rsidRPr="003E67A4" w:rsidRDefault="003E67A4">
      <w:pPr>
        <w:rPr>
          <w:rFonts w:ascii="Garamond" w:hAnsi="Garamond"/>
          <w:color w:val="4472C4" w:themeColor="accent1"/>
          <w:sz w:val="24"/>
          <w:szCs w:val="24"/>
        </w:rPr>
      </w:pPr>
      <w:r w:rsidRPr="003E67A4">
        <w:rPr>
          <w:rFonts w:ascii="Garamond" w:hAnsi="Garamond"/>
          <w:color w:val="4472C4" w:themeColor="accent1"/>
          <w:sz w:val="24"/>
          <w:szCs w:val="24"/>
        </w:rPr>
        <w:t>En in het fiscale artikel:</w:t>
      </w:r>
    </w:p>
    <w:p w14:paraId="7EE5CB10" w14:textId="77777777" w:rsidR="003E67A4" w:rsidRDefault="003E67A4" w:rsidP="003E67A4">
      <w:pPr>
        <w:ind w:firstLine="708"/>
        <w:rPr>
          <w:rFonts w:ascii="Garamond" w:hAnsi="Garamond" w:cs="Arial"/>
          <w:b/>
          <w:bCs/>
          <w:iCs/>
          <w:spacing w:val="-3"/>
          <w:sz w:val="24"/>
          <w:szCs w:val="32"/>
        </w:rPr>
      </w:pPr>
      <w:r>
        <w:rPr>
          <w:rFonts w:ascii="Garamond" w:hAnsi="Garamond" w:cs="Arial"/>
          <w:b/>
          <w:bCs/>
          <w:iCs/>
          <w:spacing w:val="-3"/>
          <w:sz w:val="24"/>
          <w:szCs w:val="32"/>
        </w:rPr>
        <w:t xml:space="preserve">Periodieke verstrekkingen aan de vrouw </w:t>
      </w:r>
    </w:p>
    <w:p w14:paraId="50AC0E16" w14:textId="77777777" w:rsidR="003E67A4" w:rsidRDefault="003E67A4" w:rsidP="003E67A4">
      <w:pPr>
        <w:ind w:left="705" w:hanging="705"/>
        <w:rPr>
          <w:rFonts w:ascii="Garamond" w:hAnsi="Garamond" w:cs="Arial"/>
          <w:iCs/>
          <w:spacing w:val="-3"/>
          <w:sz w:val="24"/>
          <w:szCs w:val="32"/>
        </w:rPr>
      </w:pPr>
      <w:r>
        <w:rPr>
          <w:rFonts w:ascii="Garamond" w:hAnsi="Garamond" w:cs="Arial"/>
          <w:iCs/>
          <w:spacing w:val="-3"/>
          <w:sz w:val="24"/>
          <w:szCs w:val="32"/>
        </w:rPr>
        <w:t>5.2</w:t>
      </w:r>
      <w:r>
        <w:rPr>
          <w:rFonts w:ascii="Garamond" w:hAnsi="Garamond" w:cs="Arial"/>
          <w:iCs/>
          <w:spacing w:val="-3"/>
          <w:sz w:val="24"/>
          <w:szCs w:val="32"/>
        </w:rPr>
        <w:tab/>
        <w:t>Hetgeen de man tot de datum van de ontbinding van het huwelijk aan de vrouw heeft betaald, is voldaan ten titel van verstrekking van huishoudgeld. Deze betalingen zijn naar de bedoeling van partijen noch voor de man aftrekbaar, noch voor de vrouw belast.</w:t>
      </w:r>
    </w:p>
    <w:p w14:paraId="41F823E6" w14:textId="77777777" w:rsidR="003E67A4" w:rsidRDefault="003E67A4" w:rsidP="003E67A4">
      <w:pPr>
        <w:pStyle w:val="Lijstalinea"/>
        <w:spacing w:line="276" w:lineRule="auto"/>
        <w:rPr>
          <w:rFonts w:ascii="Garamond" w:hAnsi="Garamond" w:cs="Arial"/>
          <w:iCs/>
          <w:spacing w:val="-3"/>
          <w:u w:val="single"/>
        </w:rPr>
      </w:pPr>
      <w:r>
        <w:rPr>
          <w:rFonts w:ascii="Garamond" w:hAnsi="Garamond" w:cs="Arial"/>
          <w:iCs/>
          <w:spacing w:val="-3"/>
          <w:u w:val="single"/>
        </w:rPr>
        <w:t>Fiscale aangiften</w:t>
      </w:r>
    </w:p>
    <w:p w14:paraId="6785F7E8" w14:textId="5A72C445" w:rsidR="003E67A4" w:rsidRDefault="003E67A4" w:rsidP="003E67A4">
      <w:pPr>
        <w:pStyle w:val="Lijstalinea"/>
        <w:spacing w:line="276" w:lineRule="auto"/>
        <w:rPr>
          <w:rFonts w:ascii="Garamond" w:hAnsi="Garamond" w:cs="Arial"/>
          <w:iCs/>
          <w:spacing w:val="-3"/>
        </w:rPr>
      </w:pPr>
      <w:r>
        <w:rPr>
          <w:rFonts w:ascii="Garamond" w:hAnsi="Garamond" w:cs="Arial"/>
          <w:iCs/>
          <w:spacing w:val="-3"/>
        </w:rPr>
        <w:t xml:space="preserve">Partijen komen overeen dat zij voor het kalenderjaar 2023 waarin het fiscaal partnerschap eindigt in principe gezamenlijk zullen opteren voor het verlengd fiscaal partnerschap ex artikel 2.17 lid 7 Wet inkomstenbelasting 2001 en ook in dat jaar in overleg met elkaar de aangiftes inkomstenbelasting (laten) doen, tenzij zij gezamenlijk anders besluiten naar aanleiding van daartoe ingewonnen advies. Partijen zullen dit eventuele advies alsook de </w:t>
      </w:r>
      <w:r>
        <w:rPr>
          <w:rFonts w:ascii="Garamond" w:hAnsi="Garamond" w:cs="Arial"/>
          <w:iCs/>
          <w:spacing w:val="-3"/>
        </w:rPr>
        <w:lastRenderedPageBreak/>
        <w:t xml:space="preserve">aangifte inkomstenbelasting over het betreffende jaar voorleggen aan </w:t>
      </w:r>
      <w:r>
        <w:rPr>
          <w:rFonts w:ascii="Garamond" w:hAnsi="Garamond" w:cs="Arial"/>
          <w:iCs/>
          <w:spacing w:val="-3"/>
        </w:rPr>
        <w:t>…………………..</w:t>
      </w:r>
      <w:r>
        <w:rPr>
          <w:rFonts w:ascii="Garamond" w:hAnsi="Garamond" w:cs="Arial"/>
          <w:iCs/>
          <w:spacing w:val="-3"/>
        </w:rPr>
        <w:t>. Indien partijen opteren voor het verlengd fiscaal partnerschap, zullen zij in hun gezamenlijke aangifte optimaal gebruik maken van artikel 2.17 Wet inkomstenbelasting (toerekenen inkomsten en aftrekposten).</w:t>
      </w:r>
    </w:p>
    <w:p w14:paraId="198478D1" w14:textId="77777777" w:rsidR="003E67A4" w:rsidRDefault="003E67A4" w:rsidP="003E67A4">
      <w:pPr>
        <w:pStyle w:val="Lijstalinea"/>
        <w:spacing w:line="276" w:lineRule="auto"/>
        <w:rPr>
          <w:rFonts w:ascii="Garamond" w:hAnsi="Garamond" w:cs="Arial"/>
          <w:iCs/>
          <w:spacing w:val="-3"/>
        </w:rPr>
      </w:pPr>
    </w:p>
    <w:p w14:paraId="341B7A5F" w14:textId="77777777" w:rsidR="003E67A4" w:rsidRDefault="003E67A4" w:rsidP="003E67A4">
      <w:pPr>
        <w:pStyle w:val="Lijstalinea"/>
        <w:spacing w:line="276" w:lineRule="auto"/>
        <w:rPr>
          <w:rFonts w:ascii="Garamond" w:hAnsi="Garamond" w:cs="Arial"/>
          <w:iCs/>
          <w:spacing w:val="-3"/>
        </w:rPr>
      </w:pPr>
      <w:r>
        <w:rPr>
          <w:rFonts w:ascii="Garamond" w:hAnsi="Garamond" w:cs="Arial"/>
          <w:iCs/>
          <w:spacing w:val="-3"/>
        </w:rPr>
        <w:t xml:space="preserve">Met ingang van het kalenderjaar na verbreking van het fiscaal partnerschap verzorgt ieder de eigen aangifte inkomstenbelasting / premies volksverzekeringen. Partijen verplichten zich om hun aangiften op relevante onderdelen met elkaar af te stemmen. </w:t>
      </w:r>
      <w:r>
        <w:rPr>
          <w:rFonts w:ascii="Garamond" w:hAnsi="Garamond" w:cs="Arial"/>
          <w:iCs/>
          <w:spacing w:val="-3"/>
        </w:rPr>
        <w:br/>
      </w:r>
      <w:r>
        <w:rPr>
          <w:rFonts w:ascii="Garamond" w:hAnsi="Garamond" w:cs="Arial"/>
          <w:iCs/>
          <w:spacing w:val="-3"/>
        </w:rPr>
        <w:br/>
        <w:t>Onder relevante onderdelen worden in ieder geval verstaan:</w:t>
      </w:r>
      <w:r>
        <w:rPr>
          <w:rFonts w:ascii="Garamond" w:hAnsi="Garamond" w:cs="Arial"/>
          <w:iCs/>
          <w:spacing w:val="-3"/>
        </w:rPr>
        <w:br/>
        <w:t>- eigen woning en partneralimentatie</w:t>
      </w:r>
    </w:p>
    <w:p w14:paraId="2F75E8EB" w14:textId="77777777" w:rsidR="003E67A4" w:rsidRDefault="003E67A4" w:rsidP="003E67A4">
      <w:pPr>
        <w:pStyle w:val="Lijstalinea"/>
        <w:spacing w:line="276" w:lineRule="auto"/>
        <w:rPr>
          <w:rFonts w:ascii="Garamond" w:hAnsi="Garamond" w:cs="Arial"/>
          <w:iCs/>
          <w:spacing w:val="-3"/>
        </w:rPr>
      </w:pPr>
    </w:p>
    <w:p w14:paraId="5DAAAD64" w14:textId="0B7062A6" w:rsidR="003E67A4" w:rsidRPr="003E67A4" w:rsidRDefault="003E67A4" w:rsidP="003E67A4">
      <w:pPr>
        <w:pStyle w:val="Lijstalinea"/>
        <w:spacing w:line="276" w:lineRule="auto"/>
        <w:rPr>
          <w:rFonts w:ascii="Garamond" w:hAnsi="Garamond" w:cs="Arial"/>
          <w:i/>
          <w:color w:val="4472C4" w:themeColor="accent1"/>
          <w:spacing w:val="-3"/>
          <w:u w:val="single"/>
        </w:rPr>
      </w:pPr>
      <w:r>
        <w:rPr>
          <w:rFonts w:ascii="Garamond" w:hAnsi="Garamond" w:cs="Arial"/>
          <w:iCs/>
          <w:spacing w:val="-3"/>
          <w:u w:val="single"/>
        </w:rPr>
        <w:t xml:space="preserve">Eigen woning </w:t>
      </w:r>
      <w:r w:rsidRPr="003E67A4">
        <w:rPr>
          <w:rFonts w:ascii="Garamond" w:hAnsi="Garamond" w:cs="Arial"/>
          <w:i/>
          <w:color w:val="4472C4" w:themeColor="accent1"/>
          <w:spacing w:val="-3"/>
          <w:u w:val="single"/>
        </w:rPr>
        <w:t>(hoeft niet altijd natuurlijk maar laat ik er nu bijstaan omdat ook naar de EW wordt verwezen.)</w:t>
      </w:r>
    </w:p>
    <w:p w14:paraId="77CACAAA" w14:textId="77777777" w:rsidR="003E67A4" w:rsidRDefault="003E67A4" w:rsidP="003E67A4">
      <w:pPr>
        <w:pStyle w:val="Lijstalinea"/>
        <w:spacing w:line="276" w:lineRule="auto"/>
        <w:rPr>
          <w:rFonts w:ascii="Garamond" w:hAnsi="Garamond" w:cs="Arial"/>
          <w:iCs/>
          <w:spacing w:val="-3"/>
        </w:rPr>
      </w:pPr>
      <w:r>
        <w:rPr>
          <w:rFonts w:ascii="Garamond" w:hAnsi="Garamond" w:cs="Arial"/>
          <w:iCs/>
          <w:spacing w:val="-3"/>
        </w:rPr>
        <w:t xml:space="preserve">Zolang de voormalige echtelijke woning niet is verkocht of toegedeeld aan een van beide partijen, zullen partijen in hun aangifte zoveel mogelijk gebruik maken van de fiscale regelgeving van artikel 3.111, eerste tot en met vierde lid, van de Wet op de inkomstenbelasting. Uitgangspunt hierbij zal in ieder geval zijn dat een belastingteruggave ter zake van betaalde hypotheekrente materieel toekomt aan degene die de hypotheekrente daadwerkelijk materieel heeft voldaan. </w:t>
      </w:r>
    </w:p>
    <w:p w14:paraId="39CDC6D5" w14:textId="77777777" w:rsidR="003E67A4" w:rsidRDefault="003E67A4" w:rsidP="003E67A4">
      <w:pPr>
        <w:rPr>
          <w:rFonts w:ascii="Garamond" w:hAnsi="Garamond" w:cs="Arial"/>
          <w:iCs/>
          <w:spacing w:val="-3"/>
        </w:rPr>
      </w:pPr>
    </w:p>
    <w:p w14:paraId="2651A296" w14:textId="71853A11" w:rsidR="003E67A4" w:rsidRPr="003E67A4" w:rsidRDefault="003E67A4" w:rsidP="003E67A4">
      <w:pPr>
        <w:pStyle w:val="Lijstalinea"/>
        <w:spacing w:line="276" w:lineRule="auto"/>
        <w:rPr>
          <w:rFonts w:ascii="Garamond" w:hAnsi="Garamond" w:cs="Arial"/>
          <w:iCs/>
          <w:spacing w:val="-3"/>
          <w:u w:val="single"/>
        </w:rPr>
      </w:pPr>
      <w:r>
        <w:rPr>
          <w:rFonts w:ascii="Garamond" w:hAnsi="Garamond" w:cs="Arial"/>
          <w:iCs/>
          <w:spacing w:val="-3"/>
          <w:u w:val="single"/>
        </w:rPr>
        <w:t>Afkoop alimentatie</w:t>
      </w:r>
      <w:r>
        <w:rPr>
          <w:rFonts w:ascii="Garamond" w:hAnsi="Garamond" w:cs="Arial"/>
          <w:iCs/>
          <w:spacing w:val="-3"/>
          <w:u w:val="single"/>
        </w:rPr>
        <w:br/>
      </w:r>
      <w:r>
        <w:rPr>
          <w:rFonts w:ascii="Garamond" w:hAnsi="Garamond" w:cs="Arial"/>
          <w:iCs/>
          <w:spacing w:val="-3"/>
        </w:rPr>
        <w:t xml:space="preserve">In de gezamenlijke aangifte zullen partijen, met gebruikmaking van artikel 2.17 lid 7 Wet inkomstenbelasting 2001, voor zover nodig de belastingheffing zo veel mogelijk  neutraliseren ten aanzien van de afkoopsom partneralimentatie, als genoemd in artikel 2.2 en 2.3 van dit convenant. Hiertoe zal de persoonsgebonden aftrekpost ex artikel 6.3 lid 1 sub b/d Wet inkomstenbelasting, welke de man toekomt, volledig worden toegerekend aan de vrouw. </w:t>
      </w:r>
      <w:r>
        <w:rPr>
          <w:rFonts w:ascii="Garamond" w:hAnsi="Garamond" w:cs="Arial"/>
          <w:iCs/>
          <w:spacing w:val="-3"/>
        </w:rPr>
        <w:br/>
      </w:r>
    </w:p>
    <w:p w14:paraId="786E20B4" w14:textId="77777777" w:rsidR="003E67A4" w:rsidRPr="003E67A4" w:rsidRDefault="003E67A4" w:rsidP="003E67A4">
      <w:pPr>
        <w:spacing w:line="300" w:lineRule="exact"/>
        <w:ind w:left="737" w:hanging="29"/>
        <w:rPr>
          <w:rFonts w:ascii="Garamond" w:eastAsia="Times New Roman" w:hAnsi="Garamond" w:cs="Arial"/>
          <w:iCs/>
          <w:spacing w:val="-3"/>
          <w:sz w:val="24"/>
          <w:szCs w:val="24"/>
          <w:u w:val="single"/>
          <w:lang w:eastAsia="nl-NL"/>
        </w:rPr>
      </w:pPr>
      <w:r w:rsidRPr="003E67A4">
        <w:rPr>
          <w:rFonts w:ascii="Garamond" w:eastAsia="Times New Roman" w:hAnsi="Garamond" w:cs="Arial"/>
          <w:iCs/>
          <w:spacing w:val="-3"/>
          <w:sz w:val="24"/>
          <w:szCs w:val="24"/>
          <w:u w:val="single"/>
          <w:lang w:eastAsia="nl-NL"/>
        </w:rPr>
        <w:t>Jaar van beëindiging fiscaal partnerschap</w:t>
      </w:r>
    </w:p>
    <w:p w14:paraId="33E98EF4" w14:textId="77777777" w:rsidR="003E67A4" w:rsidRPr="003E67A4" w:rsidRDefault="003E67A4" w:rsidP="003E67A4">
      <w:pPr>
        <w:spacing w:line="240" w:lineRule="auto"/>
        <w:ind w:left="709"/>
        <w:rPr>
          <w:rFonts w:ascii="Garamond" w:eastAsia="Times New Roman" w:hAnsi="Garamond" w:cs="Arial"/>
          <w:iCs/>
          <w:spacing w:val="-3"/>
          <w:sz w:val="24"/>
          <w:szCs w:val="24"/>
          <w:lang w:eastAsia="nl-NL"/>
        </w:rPr>
      </w:pPr>
      <w:r w:rsidRPr="003E67A4">
        <w:rPr>
          <w:rFonts w:ascii="Garamond" w:eastAsia="Times New Roman" w:hAnsi="Garamond" w:cs="Arial"/>
          <w:iCs/>
          <w:spacing w:val="-3"/>
          <w:sz w:val="24"/>
          <w:szCs w:val="24"/>
          <w:lang w:eastAsia="nl-NL"/>
        </w:rPr>
        <w:t xml:space="preserve">De heffingen met betrekking tot het jaar waarin het fiscaal partnerschap wordt beëindigd worden zonder nadere verrekening gedragen door de persoon op wiens naam deze zijn gesteld., tenzij in het kader van het opteren voor verlengd fiscaal partnerschap anders wordt overeengekomen. De man zal de per saldo verschuldigde inkomstenbelasting en premie Zorgverzekeringswet als gevolg van de afkoop alimentatie ad € 17.000 voor zijn rekening nemen.  </w:t>
      </w:r>
    </w:p>
    <w:p w14:paraId="1F11A51D" w14:textId="77777777" w:rsidR="003E67A4" w:rsidRDefault="003E67A4" w:rsidP="003E67A4">
      <w:pPr>
        <w:pStyle w:val="Lijstalinea"/>
        <w:spacing w:line="276" w:lineRule="auto"/>
        <w:ind w:left="709"/>
        <w:rPr>
          <w:rFonts w:ascii="Garamond" w:hAnsi="Garamond" w:cs="Arial"/>
          <w:iCs/>
          <w:spacing w:val="-3"/>
        </w:rPr>
      </w:pPr>
    </w:p>
    <w:p w14:paraId="0A1BB53B" w14:textId="1D325865" w:rsidR="003E67A4" w:rsidRDefault="003E67A4" w:rsidP="003E67A4">
      <w:pPr>
        <w:pStyle w:val="Lijstalinea"/>
        <w:spacing w:line="276" w:lineRule="auto"/>
        <w:rPr>
          <w:rFonts w:ascii="Garamond" w:hAnsi="Garamond" w:cs="Arial"/>
          <w:iCs/>
          <w:spacing w:val="-3"/>
        </w:rPr>
      </w:pPr>
      <w:r>
        <w:rPr>
          <w:rFonts w:ascii="Garamond" w:hAnsi="Garamond" w:cs="Arial"/>
          <w:iCs/>
          <w:spacing w:val="-3"/>
        </w:rPr>
        <w:br/>
      </w:r>
    </w:p>
    <w:p w14:paraId="1CE8382A" w14:textId="77777777" w:rsidR="003E67A4" w:rsidRDefault="003E67A4"/>
    <w:sectPr w:rsidR="003E6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A7DF0F8-737C-4388-AB2A-C4BE5DED9DE2}"/>
    <w:docVar w:name="dgnword-eventsink" w:val="435138808"/>
  </w:docVars>
  <w:rsids>
    <w:rsidRoot w:val="003E67A4"/>
    <w:rsid w:val="003E6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CD4"/>
  <w15:chartTrackingRefBased/>
  <w15:docId w15:val="{3171F4F7-2B60-4FB6-815B-8DF4CFBA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67A4"/>
    <w:pPr>
      <w:spacing w:after="0" w:line="240" w:lineRule="auto"/>
      <w:ind w:left="708"/>
    </w:pPr>
    <w:rPr>
      <w:rFonts w:ascii="Times New Roman" w:eastAsia="Times New Roman" w:hAnsi="Times New Roman" w:cs="Times New Roman"/>
      <w:sz w:val="24"/>
      <w:szCs w:val="24"/>
      <w:lang w:eastAsia="nl-NL"/>
    </w:rPr>
  </w:style>
  <w:style w:type="paragraph" w:styleId="Tekstopmerking">
    <w:name w:val="annotation text"/>
    <w:basedOn w:val="Standaard"/>
    <w:link w:val="TekstopmerkingChar"/>
    <w:semiHidden/>
    <w:unhideWhenUsed/>
    <w:rsid w:val="003E67A4"/>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3E67A4"/>
    <w:rPr>
      <w:rFonts w:ascii="Times New Roman" w:eastAsia="Times New Roman" w:hAnsi="Times New Roman" w:cs="Times New Roman"/>
      <w:sz w:val="20"/>
      <w:szCs w:val="20"/>
      <w:lang w:eastAsia="nl-NL"/>
    </w:rPr>
  </w:style>
  <w:style w:type="character" w:styleId="Verwijzingopmerking">
    <w:name w:val="annotation reference"/>
    <w:semiHidden/>
    <w:unhideWhenUsed/>
    <w:rsid w:val="003E67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0350">
      <w:bodyDiv w:val="1"/>
      <w:marLeft w:val="0"/>
      <w:marRight w:val="0"/>
      <w:marTop w:val="0"/>
      <w:marBottom w:val="0"/>
      <w:divBdr>
        <w:top w:val="none" w:sz="0" w:space="0" w:color="auto"/>
        <w:left w:val="none" w:sz="0" w:space="0" w:color="auto"/>
        <w:bottom w:val="none" w:sz="0" w:space="0" w:color="auto"/>
        <w:right w:val="none" w:sz="0" w:space="0" w:color="auto"/>
      </w:divBdr>
    </w:div>
    <w:div w:id="986781770">
      <w:bodyDiv w:val="1"/>
      <w:marLeft w:val="0"/>
      <w:marRight w:val="0"/>
      <w:marTop w:val="0"/>
      <w:marBottom w:val="0"/>
      <w:divBdr>
        <w:top w:val="none" w:sz="0" w:space="0" w:color="auto"/>
        <w:left w:val="none" w:sz="0" w:space="0" w:color="auto"/>
        <w:bottom w:val="none" w:sz="0" w:space="0" w:color="auto"/>
        <w:right w:val="none" w:sz="0" w:space="0" w:color="auto"/>
      </w:divBdr>
    </w:div>
    <w:div w:id="1466459809">
      <w:bodyDiv w:val="1"/>
      <w:marLeft w:val="0"/>
      <w:marRight w:val="0"/>
      <w:marTop w:val="0"/>
      <w:marBottom w:val="0"/>
      <w:divBdr>
        <w:top w:val="none" w:sz="0" w:space="0" w:color="auto"/>
        <w:left w:val="none" w:sz="0" w:space="0" w:color="auto"/>
        <w:bottom w:val="none" w:sz="0" w:space="0" w:color="auto"/>
        <w:right w:val="none" w:sz="0" w:space="0" w:color="auto"/>
      </w:divBdr>
    </w:div>
    <w:div w:id="1753820887">
      <w:bodyDiv w:val="1"/>
      <w:marLeft w:val="0"/>
      <w:marRight w:val="0"/>
      <w:marTop w:val="0"/>
      <w:marBottom w:val="0"/>
      <w:divBdr>
        <w:top w:val="none" w:sz="0" w:space="0" w:color="auto"/>
        <w:left w:val="none" w:sz="0" w:space="0" w:color="auto"/>
        <w:bottom w:val="none" w:sz="0" w:space="0" w:color="auto"/>
        <w:right w:val="none" w:sz="0" w:space="0" w:color="auto"/>
      </w:divBdr>
    </w:div>
    <w:div w:id="20421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DBFFFCCDAC945B5BBDC4EAC86D151" ma:contentTypeVersion="13" ma:contentTypeDescription="Een nieuw document maken." ma:contentTypeScope="" ma:versionID="518eac782dfc17135e1231ff0495186e">
  <xsd:schema xmlns:xsd="http://www.w3.org/2001/XMLSchema" xmlns:xs="http://www.w3.org/2001/XMLSchema" xmlns:p="http://schemas.microsoft.com/office/2006/metadata/properties" xmlns:ns2="a6870132-2764-4001-9851-cf04c32b162f" xmlns:ns3="2ae4af99-81aa-44ac-a501-83db06d2e204" targetNamespace="http://schemas.microsoft.com/office/2006/metadata/properties" ma:root="true" ma:fieldsID="04fbab9209d15923a95cf49524f9dc02" ns2:_="" ns3:_="">
    <xsd:import namespace="a6870132-2764-4001-9851-cf04c32b162f"/>
    <xsd:import namespace="2ae4af99-81aa-44ac-a501-83db06d2e2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0132-2764-4001-9851-cf04c32b1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006327e7-4a36-4491-9beb-2ff86b7ed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4af99-81aa-44ac-a501-83db06d2e20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2051f3e-2dcd-4477-98c5-f8006dc39006}" ma:internalName="TaxCatchAll" ma:showField="CatchAllData" ma:web="2ae4af99-81aa-44ac-a501-83db06d2e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e4af99-81aa-44ac-a501-83db06d2e204" xsi:nil="true"/>
    <lcf76f155ced4ddcb4097134ff3c332f xmlns="a6870132-2764-4001-9851-cf04c32b16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54C299-3AC1-49FB-98A6-96CE40741880}"/>
</file>

<file path=customXml/itemProps2.xml><?xml version="1.0" encoding="utf-8"?>
<ds:datastoreItem xmlns:ds="http://schemas.openxmlformats.org/officeDocument/2006/customXml" ds:itemID="{1EB0B3A1-3B96-4C4B-900D-C6B408218515}"/>
</file>

<file path=customXml/itemProps3.xml><?xml version="1.0" encoding="utf-8"?>
<ds:datastoreItem xmlns:ds="http://schemas.openxmlformats.org/officeDocument/2006/customXml" ds:itemID="{F1A302B4-7270-4E38-A356-474BDDFDBE69}"/>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4345</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Informatie van Arkel</dc:creator>
  <cp:keywords/>
  <dc:description/>
  <cp:lastModifiedBy>Van Arkel familierecht</cp:lastModifiedBy>
  <cp:revision>1</cp:revision>
  <dcterms:created xsi:type="dcterms:W3CDTF">2023-01-11T09:31:00Z</dcterms:created>
  <dcterms:modified xsi:type="dcterms:W3CDTF">2023-01-11T09:40:00Z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0x010100C3DDBFFFCCDAC945B5BBDC4EAC86D151</vt:lpwstr>
  </property>
</Properties>
</file>