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925B1" w14:textId="5953DDE0" w:rsidR="00377C2F" w:rsidRPr="000B4448" w:rsidRDefault="00377C2F" w:rsidP="00377C2F">
      <w:pPr>
        <w:spacing w:after="0" w:line="360" w:lineRule="auto"/>
        <w:textAlignment w:val="baseline"/>
        <w:rPr>
          <w:b/>
          <w:bCs/>
          <w14:ligatures w14:val="none"/>
        </w:rPr>
      </w:pPr>
      <w:r w:rsidRPr="000B4448">
        <w:rPr>
          <w:b/>
          <w:bCs/>
          <w14:ligatures w14:val="none"/>
        </w:rPr>
        <w:t xml:space="preserve">Anti-speculatiebeding ten aanzien van de woning </w:t>
      </w:r>
    </w:p>
    <w:p w14:paraId="5777EC7D" w14:textId="1D386B15" w:rsidR="00377C2F" w:rsidRDefault="00377C2F" w:rsidP="00B22F89">
      <w:pPr>
        <w:pStyle w:val="Tekstzonderopmaak"/>
        <w:numPr>
          <w:ilvl w:val="0"/>
          <w:numId w:val="1"/>
        </w:numPr>
        <w:spacing w:line="360" w:lineRule="auto"/>
        <w:ind w:left="0" w:hanging="540"/>
        <w:rPr>
          <w:rFonts w:ascii="Arial" w:hAnsi="Arial" w:cs="Arial"/>
        </w:rPr>
      </w:pPr>
      <w:r w:rsidRPr="009F1087">
        <w:rPr>
          <w:rFonts w:ascii="Arial" w:hAnsi="Arial" w:cs="Arial"/>
        </w:rPr>
        <w:t xml:space="preserve">De vrouw mag de </w:t>
      </w:r>
      <w:r w:rsidR="007A42DA">
        <w:rPr>
          <w:rFonts w:ascii="Arial" w:hAnsi="Arial" w:cs="Arial"/>
        </w:rPr>
        <w:t xml:space="preserve">in artikel genoemde </w:t>
      </w:r>
      <w:r w:rsidRPr="009F1087">
        <w:rPr>
          <w:rFonts w:ascii="Arial" w:hAnsi="Arial" w:cs="Arial"/>
        </w:rPr>
        <w:t>woning verkopen aan een ander (dan de kinderen van partijen), maar moet de man in dat geval, om speculatie met deze woning tegen te gaan, het volgende bedrag betalen</w:t>
      </w:r>
      <w:r>
        <w:rPr>
          <w:rFonts w:ascii="Arial" w:hAnsi="Arial" w:cs="Arial"/>
        </w:rPr>
        <w:t xml:space="preserve"> (dit is niet van toepassing bij verkoop van de woning aan de kinderen)</w:t>
      </w:r>
      <w:r w:rsidRPr="009F1087">
        <w:rPr>
          <w:rFonts w:ascii="Arial" w:hAnsi="Arial" w:cs="Arial"/>
        </w:rPr>
        <w:t>:</w:t>
      </w:r>
    </w:p>
    <w:p w14:paraId="7090503B" w14:textId="43371FCA" w:rsidR="00377C2F" w:rsidRDefault="00377C2F" w:rsidP="00B22F89">
      <w:pPr>
        <w:pStyle w:val="Tekstzonderopmaak"/>
        <w:spacing w:line="360" w:lineRule="auto"/>
        <w:ind w:left="540" w:hanging="540"/>
        <w:rPr>
          <w:rFonts w:ascii="Arial" w:hAnsi="Arial" w:cs="Arial"/>
        </w:rPr>
      </w:pPr>
      <w:r w:rsidRPr="009F1087">
        <w:rPr>
          <w:rFonts w:ascii="Arial" w:hAnsi="Arial" w:cs="Arial"/>
        </w:rPr>
        <w:t xml:space="preserve">a. </w:t>
      </w:r>
      <w:r w:rsidR="00B22F89">
        <w:rPr>
          <w:rFonts w:ascii="Arial" w:hAnsi="Arial" w:cs="Arial"/>
        </w:rPr>
        <w:tab/>
      </w:r>
      <w:r w:rsidRPr="009F1087">
        <w:rPr>
          <w:rFonts w:ascii="Arial" w:hAnsi="Arial" w:cs="Arial"/>
        </w:rPr>
        <w:t xml:space="preserve">vanaf de datum van het passeren van de akte van verdeling tot 1 jaar daarna 100% van de winst; </w:t>
      </w:r>
    </w:p>
    <w:p w14:paraId="6B62CB50" w14:textId="29E6D4B0" w:rsidR="00377C2F" w:rsidRDefault="00377C2F" w:rsidP="00B22F89">
      <w:pPr>
        <w:pStyle w:val="Tekstzonderopmaak"/>
        <w:spacing w:line="360" w:lineRule="auto"/>
        <w:ind w:left="540" w:hanging="540"/>
        <w:rPr>
          <w:rFonts w:ascii="Arial" w:hAnsi="Arial" w:cs="Arial"/>
        </w:rPr>
      </w:pPr>
      <w:r w:rsidRPr="009F1087">
        <w:rPr>
          <w:rFonts w:ascii="Arial" w:hAnsi="Arial" w:cs="Arial"/>
        </w:rPr>
        <w:t xml:space="preserve">b. </w:t>
      </w:r>
      <w:r w:rsidR="00B22F89">
        <w:rPr>
          <w:rFonts w:ascii="Arial" w:hAnsi="Arial" w:cs="Arial"/>
        </w:rPr>
        <w:tab/>
        <w:t xml:space="preserve">vanaf </w:t>
      </w:r>
      <w:r w:rsidRPr="009F1087">
        <w:rPr>
          <w:rFonts w:ascii="Arial" w:hAnsi="Arial" w:cs="Arial"/>
        </w:rPr>
        <w:t xml:space="preserve">1 jaar na de datum van passeren van de akte van verdeling tot 2 jaar daarna 80% van de winst; </w:t>
      </w:r>
    </w:p>
    <w:p w14:paraId="481E9AD9" w14:textId="355C1D8F" w:rsidR="00377C2F" w:rsidRDefault="00377C2F" w:rsidP="00B22F89">
      <w:pPr>
        <w:pStyle w:val="Tekstzonderopmaak"/>
        <w:spacing w:line="360" w:lineRule="auto"/>
        <w:ind w:left="540" w:hanging="540"/>
        <w:rPr>
          <w:rFonts w:ascii="Arial" w:hAnsi="Arial" w:cs="Arial"/>
        </w:rPr>
      </w:pPr>
      <w:r w:rsidRPr="009F1087">
        <w:rPr>
          <w:rFonts w:ascii="Arial" w:hAnsi="Arial" w:cs="Arial"/>
        </w:rPr>
        <w:t xml:space="preserve">c. </w:t>
      </w:r>
      <w:r w:rsidR="00B22F89">
        <w:rPr>
          <w:rFonts w:ascii="Arial" w:hAnsi="Arial" w:cs="Arial"/>
        </w:rPr>
        <w:tab/>
        <w:t xml:space="preserve">vanaf </w:t>
      </w:r>
      <w:r w:rsidRPr="009F1087">
        <w:rPr>
          <w:rFonts w:ascii="Arial" w:hAnsi="Arial" w:cs="Arial"/>
        </w:rPr>
        <w:t xml:space="preserve">2 jaar na de datum van passeren van de akte van verdeling tot 3 daarna 60% van de winst; </w:t>
      </w:r>
    </w:p>
    <w:p w14:paraId="59274821" w14:textId="656A2D63" w:rsidR="00377C2F" w:rsidRDefault="00377C2F" w:rsidP="00B22F89">
      <w:pPr>
        <w:pStyle w:val="Tekstzonderopmaak"/>
        <w:spacing w:line="360" w:lineRule="auto"/>
        <w:ind w:left="540" w:hanging="540"/>
        <w:rPr>
          <w:rFonts w:ascii="Arial" w:hAnsi="Arial" w:cs="Arial"/>
        </w:rPr>
      </w:pPr>
      <w:r w:rsidRPr="009F1087">
        <w:rPr>
          <w:rFonts w:ascii="Arial" w:hAnsi="Arial" w:cs="Arial"/>
        </w:rPr>
        <w:t xml:space="preserve">d. </w:t>
      </w:r>
      <w:r w:rsidR="00B22F89">
        <w:rPr>
          <w:rFonts w:ascii="Arial" w:hAnsi="Arial" w:cs="Arial"/>
        </w:rPr>
        <w:tab/>
        <w:t xml:space="preserve">vanaf </w:t>
      </w:r>
      <w:r w:rsidRPr="009F1087">
        <w:rPr>
          <w:rFonts w:ascii="Arial" w:hAnsi="Arial" w:cs="Arial"/>
        </w:rPr>
        <w:t xml:space="preserve">3 jaar na de datum van passeren van de akte van verdeling tot 4 jaar daarna 40% van de winst; </w:t>
      </w:r>
    </w:p>
    <w:p w14:paraId="5306F6E6" w14:textId="74D46881" w:rsidR="00377C2F" w:rsidRPr="009F1087" w:rsidRDefault="00377C2F" w:rsidP="00B22F89">
      <w:pPr>
        <w:pStyle w:val="Tekstzonderopmaak"/>
        <w:spacing w:line="360" w:lineRule="auto"/>
        <w:ind w:left="540" w:hanging="540"/>
        <w:rPr>
          <w:rFonts w:ascii="Arial" w:hAnsi="Arial" w:cs="Arial"/>
        </w:rPr>
      </w:pPr>
      <w:r w:rsidRPr="009F1087">
        <w:rPr>
          <w:rFonts w:ascii="Arial" w:hAnsi="Arial" w:cs="Arial"/>
        </w:rPr>
        <w:t xml:space="preserve">e. </w:t>
      </w:r>
      <w:r w:rsidR="00B22F89">
        <w:rPr>
          <w:rFonts w:ascii="Arial" w:hAnsi="Arial" w:cs="Arial"/>
        </w:rPr>
        <w:tab/>
        <w:t xml:space="preserve">vanaf </w:t>
      </w:r>
      <w:r w:rsidRPr="009F1087">
        <w:rPr>
          <w:rFonts w:ascii="Arial" w:hAnsi="Arial" w:cs="Arial"/>
        </w:rPr>
        <w:t xml:space="preserve">4 jaar na de datum van passeren van de akte van tot </w:t>
      </w:r>
      <w:r w:rsidR="00B22F89">
        <w:rPr>
          <w:rFonts w:ascii="Arial" w:hAnsi="Arial" w:cs="Arial"/>
        </w:rPr>
        <w:t xml:space="preserve">5 </w:t>
      </w:r>
      <w:r w:rsidRPr="009F1087">
        <w:rPr>
          <w:rFonts w:ascii="Arial" w:hAnsi="Arial" w:cs="Arial"/>
        </w:rPr>
        <w:t>jaar daarna 20% van de winst.</w:t>
      </w:r>
    </w:p>
    <w:p w14:paraId="4D3AB862" w14:textId="3FB0D00B" w:rsidR="00377C2F" w:rsidRPr="009F1087" w:rsidRDefault="00377C2F" w:rsidP="00B22F89">
      <w:pPr>
        <w:pStyle w:val="Tekstzonderopmaak"/>
        <w:spacing w:line="360" w:lineRule="auto"/>
        <w:ind w:hanging="540"/>
        <w:rPr>
          <w:rFonts w:ascii="Arial" w:hAnsi="Arial" w:cs="Arial"/>
        </w:rPr>
      </w:pPr>
      <w:r w:rsidRPr="009F1087">
        <w:rPr>
          <w:rFonts w:ascii="Arial" w:hAnsi="Arial" w:cs="Arial"/>
        </w:rPr>
        <w:t xml:space="preserve">2. </w:t>
      </w:r>
      <w:r w:rsidR="00B22F89">
        <w:rPr>
          <w:rFonts w:ascii="Arial" w:hAnsi="Arial" w:cs="Arial"/>
        </w:rPr>
        <w:tab/>
      </w:r>
      <w:r w:rsidRPr="009F1087">
        <w:rPr>
          <w:rFonts w:ascii="Arial" w:hAnsi="Arial" w:cs="Arial"/>
        </w:rPr>
        <w:t>De winst is het verschil tussen de waarde van de woning bij verkoop en het bedrag waarvoor de woning</w:t>
      </w:r>
      <w:r w:rsidR="00B22F89">
        <w:rPr>
          <w:rFonts w:ascii="Arial" w:hAnsi="Arial" w:cs="Arial"/>
        </w:rPr>
        <w:t xml:space="preserve"> </w:t>
      </w:r>
      <w:r w:rsidRPr="009F1087">
        <w:rPr>
          <w:rFonts w:ascii="Arial" w:hAnsi="Arial" w:cs="Arial"/>
        </w:rPr>
        <w:t>is gewaardeerd in dit convenant van partijen.</w:t>
      </w:r>
      <w:r>
        <w:rPr>
          <w:rFonts w:ascii="Arial" w:hAnsi="Arial" w:cs="Arial"/>
        </w:rPr>
        <w:t xml:space="preserve"> Hierbij wordt rekening gehouden met aantoonbaar gedane investeringen in het vastgoed, na het ondertekenen van dit convenant. Deze aantoonbare investeringen strekken dan in mindering op de betreffende speculatiewinst. </w:t>
      </w:r>
    </w:p>
    <w:p w14:paraId="60C077D8" w14:textId="161F9F5F" w:rsidR="00377C2F" w:rsidRPr="009F1087" w:rsidRDefault="00377C2F" w:rsidP="00B22F89">
      <w:pPr>
        <w:pStyle w:val="Tekstzonderopmaak"/>
        <w:spacing w:line="360" w:lineRule="auto"/>
        <w:ind w:hanging="540"/>
        <w:rPr>
          <w:rFonts w:ascii="Arial" w:hAnsi="Arial" w:cs="Arial"/>
        </w:rPr>
      </w:pPr>
      <w:r w:rsidRPr="009F1087">
        <w:rPr>
          <w:rFonts w:ascii="Arial" w:hAnsi="Arial" w:cs="Arial"/>
        </w:rPr>
        <w:t xml:space="preserve">3. </w:t>
      </w:r>
      <w:r w:rsidR="00B22F89">
        <w:rPr>
          <w:rFonts w:ascii="Arial" w:hAnsi="Arial" w:cs="Arial"/>
        </w:rPr>
        <w:tab/>
      </w:r>
      <w:r w:rsidRPr="009F1087">
        <w:rPr>
          <w:rFonts w:ascii="Arial" w:hAnsi="Arial" w:cs="Arial"/>
        </w:rPr>
        <w:t>De waarde van de woning</w:t>
      </w:r>
      <w:r w:rsidR="00B22F89">
        <w:rPr>
          <w:rFonts w:ascii="Arial" w:hAnsi="Arial" w:cs="Arial"/>
        </w:rPr>
        <w:t xml:space="preserve"> </w:t>
      </w:r>
      <w:r w:rsidRPr="009F1087">
        <w:rPr>
          <w:rFonts w:ascii="Arial" w:hAnsi="Arial" w:cs="Arial"/>
        </w:rPr>
        <w:t>bij verkoop is gelijk aan de koopsom, die de vrouw van de nieuwe koper ontvangt, tenzij de man</w:t>
      </w:r>
      <w:r>
        <w:rPr>
          <w:rFonts w:ascii="Arial" w:hAnsi="Arial" w:cs="Arial"/>
        </w:rPr>
        <w:t>/vrouw</w:t>
      </w:r>
      <w:r w:rsidRPr="009F1087">
        <w:rPr>
          <w:rFonts w:ascii="Arial" w:hAnsi="Arial" w:cs="Arial"/>
        </w:rPr>
        <w:t xml:space="preserve"> van oordeel is dat de waarde van de woning hoger is dan de koopsom. De waarde wordt in dat laatste geval vastgesteld door een onafhankelijk taxateur, die door partijen wordt ingeschakeld.</w:t>
      </w:r>
    </w:p>
    <w:p w14:paraId="52C2770E" w14:textId="08DE0321" w:rsidR="00377C2F" w:rsidRPr="009F1087" w:rsidRDefault="00377C2F" w:rsidP="00B22F89">
      <w:pPr>
        <w:pStyle w:val="Tekstzonderopmaak"/>
        <w:spacing w:line="360" w:lineRule="auto"/>
        <w:ind w:hanging="540"/>
        <w:rPr>
          <w:rFonts w:ascii="Arial" w:hAnsi="Arial" w:cs="Arial"/>
        </w:rPr>
      </w:pPr>
      <w:r w:rsidRPr="009F1087">
        <w:rPr>
          <w:rFonts w:ascii="Arial" w:hAnsi="Arial" w:cs="Arial"/>
        </w:rPr>
        <w:t xml:space="preserve">4. </w:t>
      </w:r>
      <w:r w:rsidR="00B22F89">
        <w:rPr>
          <w:rFonts w:ascii="Arial" w:hAnsi="Arial" w:cs="Arial"/>
        </w:rPr>
        <w:tab/>
      </w:r>
      <w:r w:rsidRPr="009F1087">
        <w:rPr>
          <w:rFonts w:ascii="Arial" w:hAnsi="Arial" w:cs="Arial"/>
        </w:rPr>
        <w:t>Het anti-speculatiebeding eindigt 5 jaar n</w:t>
      </w:r>
      <w:r w:rsidR="007A42DA">
        <w:rPr>
          <w:rFonts w:ascii="Arial" w:hAnsi="Arial" w:cs="Arial"/>
        </w:rPr>
        <w:t xml:space="preserve">a </w:t>
      </w:r>
      <w:r w:rsidRPr="009F1087">
        <w:rPr>
          <w:rFonts w:ascii="Arial" w:hAnsi="Arial" w:cs="Arial"/>
        </w:rPr>
        <w:t xml:space="preserve">toedeling van de woning aan de vrouw door </w:t>
      </w:r>
      <w:r w:rsidR="007A42DA">
        <w:rPr>
          <w:rFonts w:ascii="Arial" w:hAnsi="Arial" w:cs="Arial"/>
        </w:rPr>
        <w:t xml:space="preserve">het passeren van </w:t>
      </w:r>
      <w:r w:rsidRPr="009F1087">
        <w:rPr>
          <w:rFonts w:ascii="Arial" w:hAnsi="Arial" w:cs="Arial"/>
        </w:rPr>
        <w:t>de akte van verdeling</w:t>
      </w:r>
      <w:r w:rsidR="00B22F89">
        <w:rPr>
          <w:rFonts w:ascii="Arial" w:hAnsi="Arial" w:cs="Arial"/>
        </w:rPr>
        <w:t>.</w:t>
      </w:r>
    </w:p>
    <w:p w14:paraId="5782266B" w14:textId="4AC90C8C" w:rsidR="00E471AF" w:rsidRDefault="00377C2F" w:rsidP="00B22F89">
      <w:pPr>
        <w:pStyle w:val="Tekstzonderopmaak"/>
        <w:spacing w:line="360" w:lineRule="auto"/>
        <w:ind w:hanging="540"/>
        <w:rPr>
          <w:rFonts w:ascii="Arial" w:hAnsi="Arial" w:cs="Arial"/>
        </w:rPr>
      </w:pPr>
      <w:r w:rsidRPr="009F1087">
        <w:rPr>
          <w:rFonts w:ascii="Arial" w:hAnsi="Arial" w:cs="Arial"/>
        </w:rPr>
        <w:t xml:space="preserve">5. </w:t>
      </w:r>
      <w:r w:rsidR="00B22F89">
        <w:rPr>
          <w:rFonts w:ascii="Arial" w:hAnsi="Arial" w:cs="Arial"/>
        </w:rPr>
        <w:tab/>
      </w:r>
      <w:r w:rsidRPr="009F1087">
        <w:rPr>
          <w:rFonts w:ascii="Arial" w:hAnsi="Arial" w:cs="Arial"/>
        </w:rPr>
        <w:t>Onder verkoop van de woning</w:t>
      </w:r>
      <w:r w:rsidR="00B22F89">
        <w:rPr>
          <w:rFonts w:ascii="Arial" w:hAnsi="Arial" w:cs="Arial"/>
        </w:rPr>
        <w:t xml:space="preserve"> </w:t>
      </w:r>
      <w:r w:rsidRPr="009F1087">
        <w:rPr>
          <w:rFonts w:ascii="Arial" w:hAnsi="Arial" w:cs="Arial"/>
        </w:rPr>
        <w:t>wordt ook verstaan, vestiging van erfpacht of een ander beperkt genotsrecht, inbreng in mede-eigendom of andere constructies waardoor de woning uit de feitelijke beschikkingsmacht van de vrouw</w:t>
      </w:r>
      <w:r>
        <w:rPr>
          <w:rFonts w:ascii="Arial" w:hAnsi="Arial" w:cs="Arial"/>
        </w:rPr>
        <w:t xml:space="preserve"> c.q. man</w:t>
      </w:r>
      <w:r w:rsidRPr="009F1087">
        <w:rPr>
          <w:rFonts w:ascii="Arial" w:hAnsi="Arial" w:cs="Arial"/>
        </w:rPr>
        <w:t xml:space="preserve"> raakt.</w:t>
      </w:r>
    </w:p>
    <w:p w14:paraId="17DAB9FA" w14:textId="77777777" w:rsidR="007A42DA" w:rsidRDefault="007A42DA" w:rsidP="00B22F89">
      <w:pPr>
        <w:pStyle w:val="Tekstzonderopmaak"/>
        <w:spacing w:line="360" w:lineRule="auto"/>
        <w:ind w:hanging="540"/>
        <w:rPr>
          <w:rFonts w:ascii="Arial" w:hAnsi="Arial" w:cs="Arial"/>
        </w:rPr>
      </w:pPr>
      <w:r>
        <w:rPr>
          <w:rFonts w:ascii="Arial" w:hAnsi="Arial" w:cs="Arial"/>
        </w:rPr>
        <w:t>6.</w:t>
      </w:r>
      <w:r>
        <w:rPr>
          <w:rFonts w:ascii="Arial" w:hAnsi="Arial" w:cs="Arial"/>
        </w:rPr>
        <w:tab/>
      </w:r>
      <w:r w:rsidRPr="007A42DA">
        <w:rPr>
          <w:rFonts w:ascii="Arial" w:hAnsi="Arial" w:cs="Arial"/>
        </w:rPr>
        <w:t>De</w:t>
      </w:r>
      <w:r>
        <w:rPr>
          <w:rFonts w:ascii="Arial" w:hAnsi="Arial" w:cs="Arial"/>
        </w:rPr>
        <w:t xml:space="preserve"> hierboven genoemd</w:t>
      </w:r>
      <w:r w:rsidRPr="007A42DA">
        <w:rPr>
          <w:rFonts w:ascii="Arial" w:hAnsi="Arial" w:cs="Arial"/>
        </w:rPr>
        <w:t>e bepaling zal worden opgenomen in de notariële akte van levering bij de toedeling van de in artikel 3.1 genoemde onroerende zaak</w:t>
      </w:r>
      <w:r>
        <w:rPr>
          <w:rFonts w:ascii="Arial" w:hAnsi="Arial" w:cs="Arial"/>
        </w:rPr>
        <w:t xml:space="preserve"> aan de vrouw.</w:t>
      </w:r>
    </w:p>
    <w:p w14:paraId="2A483F02" w14:textId="77777777" w:rsidR="007A42DA" w:rsidRDefault="007A42DA" w:rsidP="00B22F89">
      <w:pPr>
        <w:pStyle w:val="Tekstzonderopmaak"/>
        <w:spacing w:line="360" w:lineRule="auto"/>
        <w:ind w:hanging="540"/>
        <w:rPr>
          <w:rFonts w:ascii="Arial" w:hAnsi="Arial" w:cs="Arial"/>
        </w:rPr>
      </w:pPr>
    </w:p>
    <w:p w14:paraId="2882FE20" w14:textId="2CE439B1" w:rsidR="007A42DA" w:rsidRDefault="007A42DA" w:rsidP="00B22F89">
      <w:pPr>
        <w:pStyle w:val="Tekstzonderopmaak"/>
        <w:spacing w:line="360" w:lineRule="auto"/>
        <w:ind w:hanging="540"/>
        <w:rPr>
          <w:rFonts w:ascii="Arial" w:hAnsi="Arial" w:cs="Arial"/>
        </w:rPr>
      </w:pPr>
      <w:r>
        <w:rPr>
          <w:rFonts w:ascii="Arial" w:hAnsi="Arial" w:cs="Arial"/>
        </w:rPr>
        <w:t xml:space="preserve">NB </w:t>
      </w:r>
      <w:r>
        <w:rPr>
          <w:rFonts w:ascii="Arial" w:hAnsi="Arial" w:cs="Arial"/>
        </w:rPr>
        <w:tab/>
        <w:t xml:space="preserve">Idem te gebruiken bij omzetting van een bedrijfswoning in een plattelandswoning en verkoop in die hoedanigheid, binnen een bepaalde periode na de verdeling. Ten aanzien van de taxatie bij verkoop kan in dat geval de volgende bepaling worden </w:t>
      </w:r>
      <w:r w:rsidR="0037524F">
        <w:rPr>
          <w:rFonts w:ascii="Arial" w:hAnsi="Arial" w:cs="Arial"/>
        </w:rPr>
        <w:t>aangevuld</w:t>
      </w:r>
      <w:r>
        <w:rPr>
          <w:rFonts w:ascii="Arial" w:hAnsi="Arial" w:cs="Arial"/>
        </w:rPr>
        <w:t xml:space="preserve">: </w:t>
      </w:r>
    </w:p>
    <w:p w14:paraId="57F503DD" w14:textId="554F755F" w:rsidR="007A42DA" w:rsidRDefault="007A42DA" w:rsidP="007A42DA">
      <w:pPr>
        <w:pStyle w:val="Tekstzonderopmaak"/>
        <w:spacing w:line="360" w:lineRule="auto"/>
      </w:pPr>
      <w:r w:rsidRPr="007A42DA">
        <w:rPr>
          <w:rFonts w:ascii="Arial" w:hAnsi="Arial" w:cs="Arial"/>
        </w:rPr>
        <w:t xml:space="preserve">Partijen laten de waarde als bedrijfswoning vaststellen door twee makelaars. </w:t>
      </w:r>
      <w:r>
        <w:rPr>
          <w:rFonts w:ascii="Arial" w:hAnsi="Arial" w:cs="Arial"/>
        </w:rPr>
        <w:t>Par</w:t>
      </w:r>
      <w:r w:rsidRPr="007A42DA">
        <w:rPr>
          <w:rFonts w:ascii="Arial" w:hAnsi="Arial" w:cs="Arial"/>
        </w:rPr>
        <w:t>tijen wij</w:t>
      </w:r>
      <w:r>
        <w:rPr>
          <w:rFonts w:ascii="Arial" w:hAnsi="Arial" w:cs="Arial"/>
        </w:rPr>
        <w:t>zen allebei éé</w:t>
      </w:r>
      <w:r w:rsidRPr="007A42DA">
        <w:rPr>
          <w:rFonts w:ascii="Arial" w:hAnsi="Arial" w:cs="Arial"/>
        </w:rPr>
        <w:t xml:space="preserve">n makelaar aan en partijen geven opdracht aan deze makelaars om een </w:t>
      </w:r>
      <w:r w:rsidRPr="007A42DA">
        <w:rPr>
          <w:rFonts w:ascii="Arial" w:hAnsi="Arial" w:cs="Arial"/>
        </w:rPr>
        <w:lastRenderedPageBreak/>
        <w:t>gezamenlijk</w:t>
      </w:r>
      <w:r>
        <w:rPr>
          <w:rFonts w:ascii="Arial" w:hAnsi="Arial" w:cs="Arial"/>
        </w:rPr>
        <w:t>e</w:t>
      </w:r>
      <w:r w:rsidRPr="007A42DA">
        <w:rPr>
          <w:rFonts w:ascii="Arial" w:hAnsi="Arial" w:cs="Arial"/>
        </w:rPr>
        <w:t xml:space="preserve"> prijs te bepalen.</w:t>
      </w:r>
      <w:r w:rsidR="0037524F">
        <w:rPr>
          <w:rFonts w:ascii="Arial" w:hAnsi="Arial" w:cs="Arial"/>
        </w:rPr>
        <w:t xml:space="preserve"> </w:t>
      </w:r>
      <w:bookmarkStart w:id="0" w:name="_Hlk184632105"/>
      <w:r w:rsidR="0001135D">
        <w:rPr>
          <w:rFonts w:ascii="Arial" w:hAnsi="Arial" w:cs="Arial"/>
        </w:rPr>
        <w:t>H</w:t>
      </w:r>
      <w:r w:rsidR="0037524F">
        <w:rPr>
          <w:rFonts w:ascii="Arial" w:hAnsi="Arial" w:cs="Arial"/>
        </w:rPr>
        <w:t>et verschil tussen de verkoopwaarde als plattelandswoning en de taxatiewaarde als bedrijfswoning</w:t>
      </w:r>
      <w:bookmarkEnd w:id="0"/>
      <w:r w:rsidR="0001135D">
        <w:rPr>
          <w:rFonts w:ascii="Arial" w:hAnsi="Arial" w:cs="Arial"/>
        </w:rPr>
        <w:t xml:space="preserve"> beschouwen partijen als de in dit artikel bedoelde winst. </w:t>
      </w:r>
      <w:r>
        <w:rPr>
          <w:rFonts w:ascii="Arial" w:hAnsi="Arial" w:cs="Arial"/>
        </w:rPr>
        <w:br/>
      </w:r>
    </w:p>
    <w:sectPr w:rsidR="007A42DA" w:rsidSect="00357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C1626"/>
    <w:multiLevelType w:val="hybridMultilevel"/>
    <w:tmpl w:val="65C81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215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2F"/>
    <w:rsid w:val="0001135D"/>
    <w:rsid w:val="00357905"/>
    <w:rsid w:val="0037524F"/>
    <w:rsid w:val="00377C2F"/>
    <w:rsid w:val="00545D96"/>
    <w:rsid w:val="007A42DA"/>
    <w:rsid w:val="008E2326"/>
    <w:rsid w:val="00B22F89"/>
    <w:rsid w:val="00B26F8A"/>
    <w:rsid w:val="00E471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14D5"/>
  <w15:chartTrackingRefBased/>
  <w15:docId w15:val="{25B4E05C-258C-49AB-94E2-FCB8D6C9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C2F"/>
    <w:rPr>
      <w:kern w:val="0"/>
    </w:rPr>
  </w:style>
  <w:style w:type="paragraph" w:styleId="Kop1">
    <w:name w:val="heading 1"/>
    <w:basedOn w:val="Standaard"/>
    <w:next w:val="Standaard"/>
    <w:link w:val="Kop1Char"/>
    <w:uiPriority w:val="9"/>
    <w:qFormat/>
    <w:rsid w:val="00377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7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7C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7C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7C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7C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7C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7C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7C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7C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7C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7C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7C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7C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7C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7C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7C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7C2F"/>
    <w:rPr>
      <w:rFonts w:eastAsiaTheme="majorEastAsia" w:cstheme="majorBidi"/>
      <w:color w:val="272727" w:themeColor="text1" w:themeTint="D8"/>
    </w:rPr>
  </w:style>
  <w:style w:type="paragraph" w:styleId="Titel">
    <w:name w:val="Title"/>
    <w:basedOn w:val="Standaard"/>
    <w:next w:val="Standaard"/>
    <w:link w:val="TitelChar"/>
    <w:uiPriority w:val="10"/>
    <w:qFormat/>
    <w:rsid w:val="00377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7C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7C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7C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7C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7C2F"/>
    <w:rPr>
      <w:i/>
      <w:iCs/>
      <w:color w:val="404040" w:themeColor="text1" w:themeTint="BF"/>
    </w:rPr>
  </w:style>
  <w:style w:type="paragraph" w:styleId="Lijstalinea">
    <w:name w:val="List Paragraph"/>
    <w:basedOn w:val="Standaard"/>
    <w:uiPriority w:val="34"/>
    <w:qFormat/>
    <w:rsid w:val="00377C2F"/>
    <w:pPr>
      <w:ind w:left="720"/>
      <w:contextualSpacing/>
    </w:pPr>
  </w:style>
  <w:style w:type="character" w:styleId="Intensievebenadrukking">
    <w:name w:val="Intense Emphasis"/>
    <w:basedOn w:val="Standaardalinea-lettertype"/>
    <w:uiPriority w:val="21"/>
    <w:qFormat/>
    <w:rsid w:val="00377C2F"/>
    <w:rPr>
      <w:i/>
      <w:iCs/>
      <w:color w:val="0F4761" w:themeColor="accent1" w:themeShade="BF"/>
    </w:rPr>
  </w:style>
  <w:style w:type="paragraph" w:styleId="Duidelijkcitaat">
    <w:name w:val="Intense Quote"/>
    <w:basedOn w:val="Standaard"/>
    <w:next w:val="Standaard"/>
    <w:link w:val="DuidelijkcitaatChar"/>
    <w:uiPriority w:val="30"/>
    <w:qFormat/>
    <w:rsid w:val="00377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7C2F"/>
    <w:rPr>
      <w:i/>
      <w:iCs/>
      <w:color w:val="0F4761" w:themeColor="accent1" w:themeShade="BF"/>
    </w:rPr>
  </w:style>
  <w:style w:type="character" w:styleId="Intensieveverwijzing">
    <w:name w:val="Intense Reference"/>
    <w:basedOn w:val="Standaardalinea-lettertype"/>
    <w:uiPriority w:val="32"/>
    <w:qFormat/>
    <w:rsid w:val="00377C2F"/>
    <w:rPr>
      <w:b/>
      <w:bCs/>
      <w:smallCaps/>
      <w:color w:val="0F4761" w:themeColor="accent1" w:themeShade="BF"/>
      <w:spacing w:val="5"/>
    </w:rPr>
  </w:style>
  <w:style w:type="paragraph" w:styleId="Tekstzonderopmaak">
    <w:name w:val="Plain Text"/>
    <w:basedOn w:val="Standaard"/>
    <w:link w:val="TekstzonderopmaakChar"/>
    <w:uiPriority w:val="99"/>
    <w:unhideWhenUsed/>
    <w:rsid w:val="00377C2F"/>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377C2F"/>
    <w:rPr>
      <w:rFonts w:ascii="Calibri"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Winthagen</dc:creator>
  <cp:keywords/>
  <dc:description/>
  <cp:lastModifiedBy>M B</cp:lastModifiedBy>
  <cp:revision>3</cp:revision>
  <dcterms:created xsi:type="dcterms:W3CDTF">2024-12-09T09:27:00Z</dcterms:created>
  <dcterms:modified xsi:type="dcterms:W3CDTF">2024-12-09T09:29:00Z</dcterms:modified>
</cp:coreProperties>
</file>